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bookmarkStart w:id="0" w:name="_GoBack"/>
      <w:r w:rsidRPr="00710CD3">
        <w:rPr>
          <w:rFonts w:cstheme="minorHAnsi"/>
          <w:color w:val="000000" w:themeColor="text1"/>
        </w:rPr>
        <w:t xml:space="preserve">Opublikowano: 02 marca 2017 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</w:p>
    <w:p w:rsidR="001F6CFF" w:rsidRPr="00710CD3" w:rsidRDefault="001F6CFF" w:rsidP="001F6CFF">
      <w:pPr>
        <w:jc w:val="center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OGŁOSZENIE O NABORZE WNIOSKÓW NR 3/2016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 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Infrastruktura turystyczna i rekreacyjna na obszarze LSR</w:t>
      </w:r>
      <w:r w:rsidRPr="00710CD3">
        <w:rPr>
          <w:rFonts w:cstheme="minorHAnsi"/>
          <w:color w:val="000000" w:themeColor="text1"/>
        </w:rPr>
        <w:t xml:space="preserve"> 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Stowarzyszenie „Ślężanie - Lokalna Grupa Działania” działająca na terenie gmin: Dzierżoniów, Jordanów Śląski, Łagiewniki,  Marcinowice, Mietków,  Niemcza,  Piława Górna, Sobótka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Zakres tematyczny naboru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Budowa lub przebudowa ogólnodostępnej i niekomercyjnej infrastruktury turystycznej lub rekreacyjnej, lub kulturalnej (w ramach zakresu o którym mowa w § 2 ust.1 pkt 6 Rozporządzenia </w:t>
      </w:r>
      <w:proofErr w:type="spellStart"/>
      <w:r w:rsidRPr="00710CD3">
        <w:rPr>
          <w:rFonts w:cstheme="minorHAnsi"/>
          <w:color w:val="000000" w:themeColor="text1"/>
        </w:rPr>
        <w:t>MRiRW</w:t>
      </w:r>
      <w:proofErr w:type="spellEnd"/>
      <w:r w:rsidRPr="00710CD3">
        <w:rPr>
          <w:rFonts w:cstheme="minorHAnsi"/>
          <w:color w:val="000000" w:themeColor="text1"/>
        </w:rPr>
        <w:t xml:space="preserve"> z dnia 24 września 2015 r.)</w:t>
      </w:r>
    </w:p>
    <w:p w:rsidR="006D4FA0" w:rsidRPr="00710CD3" w:rsidRDefault="006D4FA0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Przedsięwzięcie: 2.1.1 Rozbudowa i poprawa standardu infrastruktury turystycznej i rekreacyjnej na obszarze LSR.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Termin składania wniosków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od 16 marca 2017r. do 14 kwietnia 2017r. do godziny 10:00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Miejsce składania wniosków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Biuro Stowarzyszenia „Ślężanie - Lokalna Grupa Działania”, ul. Kościuszki 7/9, 55-050 Sobótka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Tryb składania wniosków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Wnioski o przyznanie pomocy należy składać bezpośrednio w biurze LGD, przy czym bezpośrednio oznacza: osobiście albo przez pełnomocnika albo przez osobę upoważnioną w miejscu i terminie wskazanym w ogłoszeniu.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 dniach od poniedziałku do piątku w godzinach od 7.00 do 15:00, przy czym w ostatnim dniu przyjmowania wniosków tj. 14.04.2017 do godz. 10:00.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Wniosek o przyznanie pomocy sporządzony na aktualnym formularzu udostępnianym przez LGD należy składać wraz z wymaganymi załącznikami: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lastRenderedPageBreak/>
        <w:t>1.w 2 egzemplarzach papierowych, podpisany przez podmiot ubiegający się o przyznanie pomocy lub pełnomocnika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2.</w:t>
      </w:r>
      <w:r w:rsidR="006D4FA0" w:rsidRPr="00710CD3">
        <w:rPr>
          <w:rFonts w:cstheme="minorHAnsi"/>
          <w:color w:val="000000" w:themeColor="text1"/>
        </w:rPr>
        <w:t xml:space="preserve"> </w:t>
      </w:r>
      <w:r w:rsidRPr="00710CD3">
        <w:rPr>
          <w:rFonts w:cstheme="minorHAnsi"/>
          <w:color w:val="000000" w:themeColor="text1"/>
        </w:rPr>
        <w:t>na płycie CD wraz z załącznikami (prosimy o nagranie na płycie CD wszystkich załączników, które posiadają Państwo w wersji elektronicznej).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Forma wsparcia – refundacja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Intensywność pomocy</w:t>
      </w:r>
    </w:p>
    <w:p w:rsidR="001F6CFF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63,63% – w przypadku jednostki sektora finansów publicznych,</w:t>
      </w:r>
    </w:p>
    <w:p w:rsidR="006D4FA0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max. 90% – w przypadku organizacji pozarządowych.</w:t>
      </w:r>
    </w:p>
    <w:p w:rsidR="001F6CFF" w:rsidRPr="00710CD3" w:rsidRDefault="001F6CFF" w:rsidP="006D4FA0">
      <w:pPr>
        <w:ind w:left="567" w:hanging="567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Uprawnieni wnioskodawcy</w:t>
      </w:r>
    </w:p>
    <w:p w:rsidR="001F6CFF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Gmina jeżeli jej obszar jest obszarem wiejskim objętym Lokalną Strategią Rozwoju, w ramach której zamierza realizować operację,</w:t>
      </w:r>
    </w:p>
    <w:p w:rsidR="001F6CFF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Osoba prawna, jeżeli siedziba tej osoby lub jej oddziału znajduje się na obszarze wiejskim objętym Lokalną Strategią Rozwoju.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Warunki udzielenia wsparcia w ramach naboru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1.Złożenie wniosku wraz z wymaganymi załącznikami w miejscu i terminie podanym w ogłoszeniu.</w:t>
      </w:r>
    </w:p>
    <w:p w:rsidR="00DB21C2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2.Zgodność z zakresem tematycznym –</w:t>
      </w:r>
      <w:r w:rsidR="006D4FA0" w:rsidRPr="00710CD3">
        <w:rPr>
          <w:rFonts w:cstheme="minorHAnsi"/>
          <w:color w:val="000000" w:themeColor="text1"/>
        </w:rPr>
        <w:t xml:space="preserve"> </w:t>
      </w:r>
      <w:r w:rsidR="00DB21C2" w:rsidRPr="00710CD3">
        <w:rPr>
          <w:rFonts w:cstheme="minorHAnsi"/>
          <w:color w:val="000000" w:themeColor="text1"/>
        </w:rPr>
        <w:t>Budowa lub przebudowa ogólnodostępnej i niekomercyjnej infrastruktury turystycznej lub rekreacyjnej, lub kulturalnej.</w:t>
      </w:r>
    </w:p>
    <w:p w:rsidR="00E76DAF" w:rsidRPr="00710CD3" w:rsidRDefault="00DB21C2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Przedsięwzięcie: 2.1.1 Rozbudowa i poprawa standardu infrastruktury turystycznej i rekreacyjnej na obszarze LSR.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3.Złożony wniosek musi być zgodny z: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warunkami określonymi w </w:t>
      </w:r>
      <w:r w:rsidRPr="00710CD3">
        <w:rPr>
          <w:rFonts w:cstheme="minorHAnsi"/>
          <w:i/>
          <w:iCs/>
          <w:color w:val="000000" w:themeColor="text1"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oceną wstępną (</w:t>
      </w:r>
      <w:r w:rsidRPr="00710CD3">
        <w:rPr>
          <w:rFonts w:cstheme="minorHAnsi"/>
          <w:color w:val="000000" w:themeColor="text1"/>
          <w:u w:val="single"/>
        </w:rPr>
        <w:t>załącznik nr 1 do ogłoszenia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warunkami przyznania pomocy określonymi w PROW na lata 2014-2020 (</w:t>
      </w:r>
      <w:r w:rsidRPr="00710CD3">
        <w:rPr>
          <w:rFonts w:cstheme="minorHAnsi"/>
          <w:color w:val="000000" w:themeColor="text1"/>
          <w:u w:val="single"/>
        </w:rPr>
        <w:t>załącznik nr 2 do ogłoszenia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oceną zgodności z LSR (</w:t>
      </w:r>
      <w:r w:rsidRPr="00710CD3">
        <w:rPr>
          <w:rFonts w:cstheme="minorHAnsi"/>
          <w:color w:val="000000" w:themeColor="text1"/>
          <w:u w:val="single"/>
        </w:rPr>
        <w:t>załącznik nr 3 do ogłoszenia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lastRenderedPageBreak/>
        <w:t>kryteriami wyboru projektów oraz uzyska</w:t>
      </w:r>
      <w:r w:rsidR="00DB21C2" w:rsidRPr="00710CD3">
        <w:rPr>
          <w:rFonts w:cstheme="minorHAnsi"/>
          <w:color w:val="000000" w:themeColor="text1"/>
        </w:rPr>
        <w:t>ć minimalną liczbę punktów tj. 5</w:t>
      </w:r>
      <w:r w:rsidRPr="00710CD3">
        <w:rPr>
          <w:rFonts w:cstheme="minorHAnsi"/>
          <w:color w:val="000000" w:themeColor="text1"/>
        </w:rPr>
        <w:t>0 (</w:t>
      </w:r>
      <w:r w:rsidRPr="00710CD3">
        <w:rPr>
          <w:rFonts w:cstheme="minorHAnsi"/>
          <w:color w:val="000000" w:themeColor="text1"/>
          <w:u w:val="single"/>
        </w:rPr>
        <w:t>załącznik nr 4 do ogłoszenia</w:t>
      </w:r>
      <w:r w:rsidRPr="00710CD3">
        <w:rPr>
          <w:rFonts w:cstheme="minorHAnsi"/>
          <w:color w:val="000000" w:themeColor="text1"/>
        </w:rPr>
        <w:t>).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4.Operacja przyczyni się do realizacji celu ogólnego, szczegółowego i przedsięwzięcia Lokalnej Strategii Rozwoju, przez osiągnięcie zaplanowanych wskaźników (</w:t>
      </w:r>
      <w:r w:rsidRPr="00710CD3">
        <w:rPr>
          <w:rFonts w:cstheme="minorHAnsi"/>
          <w:color w:val="000000" w:themeColor="text1"/>
          <w:u w:val="single"/>
        </w:rPr>
        <w:t>załącznik nr 5 do ogłoszenia</w:t>
      </w:r>
      <w:r w:rsidRPr="00710CD3">
        <w:rPr>
          <w:rFonts w:cstheme="minorHAnsi"/>
          <w:color w:val="000000" w:themeColor="text1"/>
        </w:rPr>
        <w:t>).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Informacja o załącznikach</w:t>
      </w:r>
    </w:p>
    <w:p w:rsidR="00E76DAF" w:rsidRPr="00710CD3" w:rsidRDefault="00E76DAF" w:rsidP="006C5FE7">
      <w:pPr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Wykaz wymaganych załączników składanych wraz z wnioskiem zawiera wzór formularza wniosku,</w:t>
      </w:r>
    </w:p>
    <w:p w:rsidR="00E76DAF" w:rsidRPr="00710CD3" w:rsidRDefault="00E76DAF" w:rsidP="006C5FE7">
      <w:pPr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Do wniosku zaleca się przedłożenie uzasadnienia wnioskodawcy do poszczególnych kryteriów wyboru operacji </w:t>
      </w:r>
      <w:r w:rsidRPr="00710CD3">
        <w:rPr>
          <w:rFonts w:cstheme="minorHAnsi"/>
          <w:color w:val="000000" w:themeColor="text1"/>
          <w:u w:val="single"/>
        </w:rPr>
        <w:t>(załącznik nr 6 do ogłoszenia),</w:t>
      </w:r>
    </w:p>
    <w:p w:rsidR="00E76DAF" w:rsidRPr="00710CD3" w:rsidRDefault="00E76DAF" w:rsidP="00DB21C2">
      <w:pPr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Do wniosku należy przedłożyć wszystkie załączniki potwierdzające spełnienie poszczególnych kryteriów wyboru projektów np. </w:t>
      </w:r>
      <w:r w:rsidR="00DB21C2" w:rsidRPr="00710CD3">
        <w:rPr>
          <w:rFonts w:cstheme="minorHAnsi"/>
          <w:color w:val="000000" w:themeColor="text1"/>
        </w:rPr>
        <w:t xml:space="preserve">lista obecności z danymi kontaktowymi mieszkańców, którzy wzięli udział w spotkaniu oraz zestawienie zebranych uwag wraz z odpowiedziami Wnioskodawcy </w:t>
      </w:r>
      <w:r w:rsidRPr="00710CD3">
        <w:rPr>
          <w:rFonts w:cstheme="minorHAnsi"/>
          <w:color w:val="000000" w:themeColor="text1"/>
        </w:rPr>
        <w:t xml:space="preserve"> i inne.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Miejsce udostępniania dokumentów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Lokalna Strategia Rozwoju Lokalnej Grupy Działania Ślężanie,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formularz wniosku o przyznanie pomocy,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formularz wniosku o płatność,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formularz umowy o przyznaniu pomocy,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dostępne są na stronie internetowej Stowarzyszenia „Ślężanie - Lokalna Grupa Działania” – </w:t>
      </w:r>
      <w:hyperlink r:id="rId8" w:history="1">
        <w:r w:rsidRPr="00710CD3">
          <w:rPr>
            <w:rStyle w:val="Hipercze"/>
            <w:rFonts w:cstheme="minorHAnsi"/>
            <w:color w:val="000000" w:themeColor="text1"/>
          </w:rPr>
          <w:t>www.slezanie.eu</w:t>
        </w:r>
      </w:hyperlink>
      <w:r w:rsidRPr="00710CD3">
        <w:rPr>
          <w:rFonts w:cstheme="minorHAnsi"/>
          <w:color w:val="000000" w:themeColor="text1"/>
        </w:rPr>
        <w:t xml:space="preserve"> oraz na stronie Agencji Restrukturyzacji i Modernizacji Rolnictwa – </w:t>
      </w:r>
      <w:hyperlink r:id="rId9" w:history="1">
        <w:r w:rsidRPr="00710CD3">
          <w:rPr>
            <w:rStyle w:val="Hipercze"/>
            <w:rFonts w:cstheme="minorHAnsi"/>
            <w:color w:val="000000" w:themeColor="text1"/>
          </w:rPr>
          <w:t>www.arimr.gov.pl</w:t>
        </w:r>
      </w:hyperlink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 xml:space="preserve">Limit środków w ramach naboru – </w:t>
      </w:r>
      <w:r w:rsidR="00DB21C2" w:rsidRPr="00710CD3">
        <w:rPr>
          <w:rFonts w:cstheme="minorHAnsi"/>
          <w:color w:val="000000" w:themeColor="text1"/>
          <w:highlight w:val="lightGray"/>
        </w:rPr>
        <w:t xml:space="preserve"> 2 00</w:t>
      </w:r>
      <w:r w:rsidRPr="00710CD3">
        <w:rPr>
          <w:rFonts w:cstheme="minorHAnsi"/>
          <w:color w:val="000000" w:themeColor="text1"/>
          <w:highlight w:val="lightGray"/>
        </w:rPr>
        <w:t>0 000,00zł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Miejsce, termin i tryb udzielanego doradztwa wnioskodawcom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Doradztwo prowadzone jest przez pracowników biura Stowarzyszenia „Ślężanie - Lokalna Grupa Działania” w zakresie opracowywania wniosków wraz z załącznikami, osobiście w siedzibie Biura LGD Ślężanie (ul. Kościuszki 7/9, 55-050 Sobótka), w godzinach pracy biura, tj. w dni robocze od 7:00 do 15:00, po wcześniejszym umówieniu się. Jednocześnie informujemy, że nie będzie możliwości sprawdzania dokumentacji w ostatnim dniu naboru.</w:t>
      </w:r>
    </w:p>
    <w:p w:rsidR="006B0720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</w:rPr>
        <w:t>UWAGA</w:t>
      </w:r>
      <w:r w:rsidRPr="00710CD3">
        <w:rPr>
          <w:rFonts w:cstheme="minorHAnsi"/>
          <w:color w:val="000000" w:themeColor="text1"/>
        </w:rPr>
        <w:t xml:space="preserve"> – kolejność złożenia wnioskó</w:t>
      </w:r>
      <w:r w:rsidR="006B0720" w:rsidRPr="00710CD3">
        <w:rPr>
          <w:rFonts w:cstheme="minorHAnsi"/>
          <w:color w:val="000000" w:themeColor="text1"/>
        </w:rPr>
        <w:t>w może mieć znacznie:</w:t>
      </w:r>
    </w:p>
    <w:p w:rsidR="006B0720" w:rsidRPr="00710CD3" w:rsidRDefault="006B0720" w:rsidP="006B0720">
      <w:pPr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lastRenderedPageBreak/>
        <w:t>W przypadku gdy w ramach oceny według lokalnych kryteriów wyboru co najmniej 2 operacje uzyskały  równą ilość punktów, o miejscu na liście rankingowej stanowi data oraz godzina złożenia wniosku.</w:t>
      </w:r>
    </w:p>
    <w:p w:rsidR="006B0720" w:rsidRPr="00710CD3" w:rsidRDefault="006B0720" w:rsidP="006B0720">
      <w:pPr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Wyższą pozycję na liście otrzymują wnioski złożone wcześniej ze względu na datę oraz godzinę złożenia wniosku w danym dniu.</w:t>
      </w:r>
    </w:p>
    <w:p w:rsidR="00CD45CB" w:rsidRPr="00710CD3" w:rsidRDefault="006B0720" w:rsidP="006B0720">
      <w:pPr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Dotyczy operacji, które osiągnęły minimalną ilość punktów wynoszącą 50pkt.</w:t>
      </w:r>
    </w:p>
    <w:p w:rsidR="006B0720" w:rsidRPr="00710CD3" w:rsidRDefault="006B0720" w:rsidP="006B0720">
      <w:pPr>
        <w:jc w:val="both"/>
        <w:rPr>
          <w:rFonts w:cstheme="minorHAnsi"/>
          <w:i/>
          <w:iCs/>
          <w:color w:val="000000" w:themeColor="text1"/>
        </w:rPr>
      </w:pPr>
    </w:p>
    <w:p w:rsidR="006B0720" w:rsidRPr="006858C6" w:rsidRDefault="00DE7A3A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hyperlink r:id="rId10" w:history="1">
        <w:r w:rsidR="006B0720"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Ogłoszenie o naborze wniosków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Wykaz załączników do ogłoszenia:</w:t>
      </w:r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1.</w:t>
      </w:r>
      <w:hyperlink r:id="rId11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Karta oceny wstępnej.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2.</w:t>
      </w:r>
      <w:hyperlink r:id="rId12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Karta weryfikacji zgodności operacji z warunkami przyznania pomocy określonymi w PROW na lata 2014-2020.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3.</w:t>
      </w:r>
      <w:hyperlink r:id="rId13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Karta oceny zgodności z LSR.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4.</w:t>
      </w:r>
      <w:hyperlink r:id="rId14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Kryteria wyboru projektów.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5.</w:t>
      </w:r>
      <w:hyperlink r:id="rId15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Planowane do osiągnięcia w wyniku operacji cele ogólne, szczegółowe, przedsięwzięcia oraz zakładane do osiągnięcia wskaźniki.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6.</w:t>
      </w:r>
      <w:hyperlink r:id="rId16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Uzasadnienie wnioskodawcy do poszczególnych kryteriów wyboru operacji.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 </w:t>
      </w:r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Dokumenty do wypełnienia przez wnioskodawców:</w:t>
      </w:r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1.</w:t>
      </w:r>
      <w:hyperlink r:id="rId17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Wniosek o Przyznanie Pomocy</w:t>
        </w:r>
      </w:hyperlink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.</w:t>
      </w:r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2.</w:t>
      </w:r>
      <w:hyperlink r:id="rId18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Instrukcja wypełniania Wniosku o Przyznanie Pomocy</w:t>
        </w:r>
      </w:hyperlink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</w:t>
      </w:r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Pozostałe dokumenty związane z ogłoszeniem:</w:t>
      </w:r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1.</w:t>
      </w:r>
      <w:hyperlink r:id="rId19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 xml:space="preserve">Umowa o przyznanie pomocy na operacje w zakresie budowa lub przebudowa ogólnodostępnej i niekomercyjnej infrastruktury turystycznej lub rekreacyjnej, lub kulturalnej. 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2.</w:t>
      </w:r>
      <w:hyperlink r:id="rId20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1 zestawienie finansowo-rzeczowe operacji.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lastRenderedPageBreak/>
        <w:t>3.</w:t>
      </w:r>
      <w:hyperlink r:id="rId21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2 wykaz działek ewidencyjnych.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4.</w:t>
      </w:r>
      <w:hyperlink r:id="rId22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3 zasady konkurencyjności wydatków.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5.</w:t>
      </w:r>
      <w:hyperlink r:id="rId23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4 wskaźniki procentowe do obliczenia wartości kar administracyjnych za naruszenie zasad konkurencyjności wydatków w ramach PROW 2014-2020.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6.</w:t>
      </w:r>
      <w:hyperlink r:id="rId24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5 kary administracyjne za naruszenie przepisów zamówień publicznych.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7.</w:t>
      </w:r>
      <w:hyperlink r:id="rId25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5A kary administracyjne za naruszenie przepisów o zamówieniach publicznych po wejściu w życie ustawy z dnia 22 czerwca 2016 r. o zmianie ustawy – Prawo zamówień publicznych oraz niektórych innych ustaw.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8.</w:t>
      </w:r>
      <w:hyperlink r:id="rId26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Wniosek o płatność na operacje w zakresie budowa lub przebudowa ogólnodostępnej i niekomercyjnej infrastruktury turystycznej lub rekreacyjnej, lub kulturalnej.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 xml:space="preserve">9.Instrukcja </w:t>
      </w:r>
      <w:hyperlink r:id="rId27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 xml:space="preserve">wypełniania Wniosku o Płatność na operacje w zakresie </w:t>
        </w:r>
      </w:hyperlink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 budowa lub przebudowa ogólnodostępnej i niekomercyjnej infrastruktury turystycznej lub rekreacyjnej, lub kulturalnej.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</w:t>
      </w:r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u w:val="single"/>
          <w:lang w:eastAsia="pl-PL"/>
        </w:rPr>
        <w:t>Załączniki dodatkowe: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1.Strategia Rozwoju Lokalnego Kierowanego przez Społeczność w ramach Programu Rozwoju Obszarów Wiejskich na lata 2014-2020 Lokalnej Grupy Działania Ślężanie.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2.Regulamin Rady Stowarzyszenia „Ślężanie – Lokalna Grupa Działania”.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3.Statut LGD Ślężanie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4.Procedura wyboru operacji LGD Ślężanie.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b/>
          <w:bCs/>
          <w:color w:val="000000" w:themeColor="text1"/>
          <w:szCs w:val="24"/>
          <w:lang w:eastAsia="pl-PL"/>
        </w:rPr>
        <w:t>UWAGA dla wnioskodawców.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u w:val="single"/>
          <w:lang w:eastAsia="pl-PL"/>
        </w:rPr>
        <w:t>Zwracamy Państwa uwagę na kilka ważnych kwestii związanych z ubieganiem się o pomoc: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Wnioski o przyznanie pomocy mogą być składane </w:t>
      </w:r>
      <w:r w:rsidRPr="00710CD3">
        <w:rPr>
          <w:rFonts w:eastAsia="Times New Roman" w:cstheme="minorHAnsi"/>
          <w:i/>
          <w:iCs/>
          <w:color w:val="000000" w:themeColor="text1"/>
          <w:szCs w:val="24"/>
          <w:lang w:eastAsia="pl-PL"/>
        </w:rPr>
        <w:t>osobiście albo pełnomocnika albo przez osobę upoważnioną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– w przypadku reprezentowania Wnioskodawcy prosimy mieć ze sobą upoważnienie do złożenia wniosku.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Przyjmując wniosek pracownik biura LGD ma obowiązek policzyć wszystkie załączone do wniosku załączniki. Prosimy o </w:t>
      </w:r>
      <w:r w:rsidRPr="00710CD3">
        <w:rPr>
          <w:rFonts w:eastAsia="Times New Roman" w:cstheme="minorHAnsi"/>
          <w:i/>
          <w:iCs/>
          <w:color w:val="000000" w:themeColor="text1"/>
          <w:szCs w:val="24"/>
          <w:lang w:eastAsia="pl-PL"/>
        </w:rPr>
        <w:t>uporządkowanie składanych dokumentów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, co pozwoli na sprawne ich policzenie, a co za tym idzie skrócenie czasu przyjmowania wniosków.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 xml:space="preserve">LGD ocenia Państwa projekt na podstawie złożonych dokumentów wypełniając karty ocen. Dlatego prosimy zapoznać się z kartami ocen, które stanowią załączniki do ogłoszenia o naborze. LGD nie ma możliwości poproszenia Państwa o uzupełnienie czy przedstawienie 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lastRenderedPageBreak/>
        <w:t>dodatkowych dokumentów podczas oceny. Brak dokumentów potrzebnych do weryfikacji może więc spowodować odrzucenie wniosku.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Wykaz wymaganych załączników składanych wraz z wnioskiem zawiera wzór formularza wniosku.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Do wniosku zaleca się przedłożenie uzasadnienia wnioskodawcy do poszczególnych kryteriów wyboru operacji (załącznik nr 6 do ogłoszenia).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Do wniosku należy przedłożyć wszystkie załączniki potwierdzające spełnienie poszczególnych kryteriów wyboru projektów np. uzasadnienie przyjętych rozwiązań innowacyjnych, zaświadczenie za udział w szkoleniu wystawione przez biuro LGD i inne.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Kolejność złożenia wniosków może mieć znacznie:</w:t>
      </w:r>
    </w:p>
    <w:p w:rsidR="006B0720" w:rsidRPr="00710CD3" w:rsidRDefault="006B0720" w:rsidP="006B0720">
      <w:pPr>
        <w:ind w:left="720"/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W przypadku gdy w ramach oceny według lokalnych kryteriów wyboru co najmniej 2 operacje uzyskały  równą ilość punktów, o miejscu na liście rankingowej stanowi data oraz godzina złożenia wniosku.</w:t>
      </w:r>
    </w:p>
    <w:p w:rsidR="006B0720" w:rsidRPr="00710CD3" w:rsidRDefault="006B0720" w:rsidP="006B0720">
      <w:pPr>
        <w:ind w:left="720"/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Wyższą pozycję na liście otrzymują wnioski złożone wcześniej ze względu na datę oraz godzinę złożenia wniosku w danym dniu.</w:t>
      </w:r>
    </w:p>
    <w:p w:rsidR="006B0720" w:rsidRPr="00710CD3" w:rsidRDefault="006B0720" w:rsidP="006B0720">
      <w:pPr>
        <w:ind w:left="720"/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Dotyczy operacji, które osiągnęły minimalną ilość punktów wynoszącą 50pkt.</w:t>
      </w:r>
    </w:p>
    <w:p w:rsidR="006B0720" w:rsidRPr="00710CD3" w:rsidRDefault="006B0720" w:rsidP="006B07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Wnioski wybrane przez LGD są przekazane do Urzędu Marszałkowskiego. Urząd Marszałkowski  może jednokrotnie poprosić Państwa o uzupełnienie braków w ciągu 7 dni, tj. poprawienie oczywistych omyłek bądź wyjaśnienie wątpliwości. Dlatego tak ważne jest jak najlepsze przygotowanie wniosku i wszystkich załączników.</w:t>
      </w:r>
    </w:p>
    <w:p w:rsidR="006B0720" w:rsidRPr="00710CD3" w:rsidRDefault="006B0720" w:rsidP="006B07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Jeżeli mają Państwo przygotowaną dokumentację zapraszamy do biura LGD w celu sprawdzenia jej poprawności i kompletności. </w:t>
      </w:r>
      <w:r w:rsidRPr="00710CD3">
        <w:rPr>
          <w:rFonts w:eastAsia="Times New Roman" w:cstheme="minorHAnsi"/>
          <w:b/>
          <w:bCs/>
          <w:color w:val="000000" w:themeColor="text1"/>
          <w:szCs w:val="24"/>
          <w:lang w:eastAsia="pl-PL"/>
        </w:rPr>
        <w:t>Prosimy o wcześniejsze umówienie się na spotkanie.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Jednocześnie informujemy, że nie będzie możliwości sprawdzania dokumentacji w ostatnim dniu naboru.</w:t>
      </w:r>
    </w:p>
    <w:bookmarkEnd w:id="0"/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710CD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</w:p>
    <w:p w:rsidR="006B0720" w:rsidRPr="006B0720" w:rsidRDefault="006B0720" w:rsidP="006B0720">
      <w:pPr>
        <w:jc w:val="both"/>
        <w:rPr>
          <w:rFonts w:cstheme="minorHAnsi"/>
          <w:i/>
          <w:iCs/>
          <w:color w:val="FF0000"/>
          <w:sz w:val="20"/>
        </w:rPr>
      </w:pPr>
    </w:p>
    <w:sectPr w:rsidR="006B0720" w:rsidRPr="006B0720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3A" w:rsidRDefault="00DE7A3A" w:rsidP="00C97DD4">
      <w:pPr>
        <w:spacing w:after="0" w:line="240" w:lineRule="auto"/>
      </w:pPr>
      <w:r>
        <w:separator/>
      </w:r>
    </w:p>
  </w:endnote>
  <w:endnote w:type="continuationSeparator" w:id="0">
    <w:p w:rsidR="00DE7A3A" w:rsidRDefault="00DE7A3A" w:rsidP="00C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3A" w:rsidRDefault="00DE7A3A" w:rsidP="00C97DD4">
      <w:pPr>
        <w:spacing w:after="0" w:line="240" w:lineRule="auto"/>
      </w:pPr>
      <w:r>
        <w:separator/>
      </w:r>
    </w:p>
  </w:footnote>
  <w:footnote w:type="continuationSeparator" w:id="0">
    <w:p w:rsidR="00DE7A3A" w:rsidRDefault="00DE7A3A" w:rsidP="00C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D4" w:rsidRPr="00784313" w:rsidRDefault="001F799A" w:rsidP="00C97DD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152AB" wp14:editId="620D3D4A">
          <wp:simplePos x="0" y="0"/>
          <wp:positionH relativeFrom="column">
            <wp:posOffset>1453515</wp:posOffset>
          </wp:positionH>
          <wp:positionV relativeFrom="paragraph">
            <wp:posOffset>75565</wp:posOffset>
          </wp:positionV>
          <wp:extent cx="1240790" cy="58674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6DF287F" wp14:editId="6A21798F">
          <wp:simplePos x="0" y="0"/>
          <wp:positionH relativeFrom="column">
            <wp:posOffset>3390900</wp:posOffset>
          </wp:positionH>
          <wp:positionV relativeFrom="paragraph">
            <wp:posOffset>67945</wp:posOffset>
          </wp:positionV>
          <wp:extent cx="600075" cy="593090"/>
          <wp:effectExtent l="0" t="0" r="9525" b="0"/>
          <wp:wrapSquare wrapText="bothSides"/>
          <wp:docPr id="2" name="Obraz 2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DD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10A5C6" wp14:editId="49B48C33">
          <wp:extent cx="862965" cy="585470"/>
          <wp:effectExtent l="0" t="0" r="0" b="5080"/>
          <wp:docPr id="1" name="Obraz 1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DD4"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C97DD4"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C97DD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F5BF22A" wp14:editId="65662007">
          <wp:extent cx="1014501" cy="663921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2" cy="66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DD4" w:rsidRDefault="00C97DD4" w:rsidP="00C97DD4">
    <w:pPr>
      <w:jc w:val="center"/>
      <w:rPr>
        <w:sz w:val="18"/>
        <w:szCs w:val="18"/>
      </w:rPr>
    </w:pPr>
  </w:p>
  <w:p w:rsidR="00C97DD4" w:rsidRPr="00C97DD4" w:rsidRDefault="00C97DD4" w:rsidP="00C97DD4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DF"/>
    <w:multiLevelType w:val="multilevel"/>
    <w:tmpl w:val="369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62A91"/>
    <w:multiLevelType w:val="multilevel"/>
    <w:tmpl w:val="538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2AAE"/>
    <w:multiLevelType w:val="multilevel"/>
    <w:tmpl w:val="25D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17216"/>
    <w:multiLevelType w:val="multilevel"/>
    <w:tmpl w:val="14C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296C0C"/>
    <w:multiLevelType w:val="hybridMultilevel"/>
    <w:tmpl w:val="1344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183D"/>
    <w:multiLevelType w:val="multilevel"/>
    <w:tmpl w:val="0D6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F"/>
    <w:rsid w:val="001F6CFF"/>
    <w:rsid w:val="001F799A"/>
    <w:rsid w:val="003212ED"/>
    <w:rsid w:val="006858C6"/>
    <w:rsid w:val="006B0720"/>
    <w:rsid w:val="006C5FE7"/>
    <w:rsid w:val="006D4FA0"/>
    <w:rsid w:val="00710CD3"/>
    <w:rsid w:val="00743B20"/>
    <w:rsid w:val="009F00EF"/>
    <w:rsid w:val="00BF0776"/>
    <w:rsid w:val="00C97DD4"/>
    <w:rsid w:val="00CD45CB"/>
    <w:rsid w:val="00DB1739"/>
    <w:rsid w:val="00DB21C2"/>
    <w:rsid w:val="00DE7A3A"/>
    <w:rsid w:val="00E76DAF"/>
    <w:rsid w:val="00E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anie.eu" TargetMode="External"/><Relationship Id="rId13" Type="http://schemas.openxmlformats.org/officeDocument/2006/relationships/hyperlink" Target="http://kwiatlnu.eu/zalacznik-3-do-ogloszenia/" TargetMode="External"/><Relationship Id="rId18" Type="http://schemas.openxmlformats.org/officeDocument/2006/relationships/hyperlink" Target="http://kwiatlnu.eu/iw_wopp_2_z_poprawiona_mj_27_11-16/" TargetMode="External"/><Relationship Id="rId26" Type="http://schemas.openxmlformats.org/officeDocument/2006/relationships/hyperlink" Target="http://kwiatlnu.eu/wop_19_2_i_w__2z_i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wiatlnu.eu/zal_2_i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wiatlnu.eu/zalacznik-nr-2-do-ogloszenia/" TargetMode="External"/><Relationship Id="rId17" Type="http://schemas.openxmlformats.org/officeDocument/2006/relationships/hyperlink" Target="http://kwiatlnu.eu/wopp_19_2__i_2z_/" TargetMode="External"/><Relationship Id="rId25" Type="http://schemas.openxmlformats.org/officeDocument/2006/relationships/hyperlink" Target="http://kwiatlnu.eu/zal_5_a_iw/" TargetMode="External"/><Relationship Id="rId2" Type="http://schemas.openxmlformats.org/officeDocument/2006/relationships/styles" Target="styles.xml"/><Relationship Id="rId16" Type="http://schemas.openxmlformats.org/officeDocument/2006/relationships/hyperlink" Target="http://kwiatlnu.eu/zalacznik-nr-6-do-ogloszenia-2/" TargetMode="External"/><Relationship Id="rId20" Type="http://schemas.openxmlformats.org/officeDocument/2006/relationships/hyperlink" Target="http://kwiatlnu.eu/zal_1_iw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wiatlnu.eu/zalacznik-nr-1-do-ogloszenia/" TargetMode="External"/><Relationship Id="rId24" Type="http://schemas.openxmlformats.org/officeDocument/2006/relationships/hyperlink" Target="http://kwiatlnu.eu/zal_5_i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wiatlnu.eu/zalacznik-nr-5-do-ogloszenia-3/" TargetMode="External"/><Relationship Id="rId23" Type="http://schemas.openxmlformats.org/officeDocument/2006/relationships/hyperlink" Target="http://kwiatlnu.eu/zal_4_iw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kwiatlnu.eu/ogloszenie-3-do-pobrania-2/" TargetMode="External"/><Relationship Id="rId19" Type="http://schemas.openxmlformats.org/officeDocument/2006/relationships/hyperlink" Target="http://kwiatlnu.eu/umowa_i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14" Type="http://schemas.openxmlformats.org/officeDocument/2006/relationships/hyperlink" Target="http://kwiatlnu.eu/zalacznik-nr-4-do-ogloszenia/" TargetMode="External"/><Relationship Id="rId22" Type="http://schemas.openxmlformats.org/officeDocument/2006/relationships/hyperlink" Target="http://kwiatlnu.eu/zal_3_iw/" TargetMode="External"/><Relationship Id="rId27" Type="http://schemas.openxmlformats.org/officeDocument/2006/relationships/hyperlink" Target="http://kwiatlnu.eu/iwop_19_2_i_w_2z_iw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dcterms:created xsi:type="dcterms:W3CDTF">2017-02-28T11:58:00Z</dcterms:created>
  <dcterms:modified xsi:type="dcterms:W3CDTF">2017-03-02T11:56:00Z</dcterms:modified>
</cp:coreProperties>
</file>