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978A4" w:rsidRPr="00E15022" w:rsidTr="001978A4">
        <w:trPr>
          <w:trHeight w:val="420"/>
        </w:trPr>
        <w:tc>
          <w:tcPr>
            <w:tcW w:w="9782" w:type="dxa"/>
            <w:gridSpan w:val="4"/>
            <w:shd w:val="clear" w:color="auto" w:fill="F8F8F8"/>
          </w:tcPr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ROZWÓJ</w:t>
            </w:r>
            <w:r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 xml:space="preserve"> DZIAŁALNOŚ</w:t>
            </w:r>
            <w:bookmarkStart w:id="0" w:name="_GoBack"/>
            <w:bookmarkEnd w:id="0"/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CI GOSPODARCZEJ</w:t>
            </w:r>
          </w:p>
          <w:p w:rsidR="001978A4" w:rsidRPr="001978A4" w:rsidRDefault="001978A4" w:rsidP="001978A4">
            <w:pPr>
              <w:spacing w:after="200" w:line="276" w:lineRule="auto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LGD  Ślężanie  w ramach realizacji LSR 2014-2020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Kryterium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Liczba pkt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Sposób weryfikacji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 biznesplanu projektu wynika konieczność utworzenia co najmniej 2 miejsc pracy.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 oparciu o informacje zawarte we wniosku o dofinansowanie. Kryterium zostanie uznane za spełnione w przypadku zawarcia we wniosku informacji o utworzeniu stanowisk pracy w łącznym wymiarze minimum 2 etatów (1 etat jako wymagane minimum +1 etat dodatkowy).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12 punktów.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Wysokość wnioskowanej kwoty pomocy w przeliczeniu na jedno miejsce pracy jest niższa niż w przypadku innych projektów w naborze.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Weryfikacja w oparciu o informacje zawarte we wniosku o dofinansowanie oraz danych zebranych przez LGD w ramach naboru.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Przeliczenie nastąpi na podstawie deklarowanej wysokości wnioskowanego dofinansowania – kwota zostanie podzielona przez liczbę stanowisk zaplanowanych w ramach operacji (w przeliczeniu na 1 etat).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ad: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A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powstan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stanowiska pracy w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czasu pracy 2 etat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w. 150.000/2 = koszt jednego miejsca pracy wynosi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B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otych, w ramach operacji zaplanowano stworzenie stanowisk pracy o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1,25 etatu = koszt jednego miejsca pracy wynosi 120.000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Wnioskowana kwota dofinansowania projektu C wynosi 90 tys.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zaplanowano 1 miejsce pracy w wymiarze pe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nego etatu = koszt jednego miejsca pracy wynosi 90.000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Maksymaln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(20) uzyska operacja, w ramach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rej zaproponowano 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 w danym naborze. Kolejne operacje otrzymaj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wyliczon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w nast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>puj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cy spos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b: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Liczba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=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pracy/koszt jednego miejsca pracy w ramach danego wniosku) x 20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podaje si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z dok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adno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ci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dw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ch miejsc po przecinku, przy zastosowaniu matematycznych zasad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</w:t>
            </w:r>
            <w:r w:rsidRPr="00E15022">
              <w:rPr>
                <w:rFonts w:ascii="Arial" w:hAnsi="Arial" w:cs="Arial" w:hint="cs"/>
                <w:szCs w:val="22"/>
              </w:rPr>
              <w:t>ń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Punktacja w przypadku 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adowych wniosk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opisanych powy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ej (przy za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eniu,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to jedyne projekty,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 wp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yn</w:t>
            </w:r>
            <w:r w:rsidRPr="00E15022">
              <w:rPr>
                <w:rFonts w:ascii="Arial" w:hAnsi="Arial" w:cs="Arial" w:hint="cs"/>
                <w:szCs w:val="22"/>
              </w:rPr>
              <w:t>ęł</w:t>
            </w:r>
            <w:r w:rsidRPr="00E15022">
              <w:rPr>
                <w:rFonts w:ascii="Arial" w:hAnsi="Arial" w:cs="Arial"/>
                <w:szCs w:val="22"/>
              </w:rPr>
              <w:t>y w ramach naboru do LGD) wyniesie: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20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A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miejsca pracy: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16,67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C ([75.000/90.000] x 20 = 16,666666666; po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gleniu 16,67 pkt),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12,50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B ([75.000/120.000] x 20 = 12,50 pkt).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Projekt zakłada rozwój firmy w jednej z poniższych kategorii: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noclegowe,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gastronomiczne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prowadzącej usługi z zakresu działalności rehabilitacyjnej, 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prowadzącej usługi z zakresu ochrony zdrowia,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prowadzącej obiekt rekreacyjny lub świadczące usługi rekreacyjne,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świadczące usługi opiekuńcze.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Wskazano zakresy działalności zdiagnozowane w Lokalnej Strategii Rozwoju jako kluczowe dla rozwoju i wykorzystania 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Aby otrzymać punkty konieczne jest wykazanie, że jedna z preferowanych kategorii będzie </w:t>
            </w:r>
            <w:r w:rsidRPr="00E15022">
              <w:rPr>
                <w:rFonts w:ascii="Arial" w:hAnsi="Arial" w:cs="Arial"/>
                <w:szCs w:val="22"/>
                <w:u w:val="single"/>
              </w:rPr>
              <w:t>główną, dominującą działalnością Wnioskodawcy.</w:t>
            </w:r>
            <w:r w:rsidRPr="00E15022">
              <w:rPr>
                <w:rFonts w:ascii="Arial" w:hAnsi="Arial" w:cs="Arial"/>
                <w:szCs w:val="22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przynależność do więcej niż jednej kategorii nie wpływa na liczbę punktów (osoba planująca uruchomić obiekt noclegowy z restauracją i punktem wypożyczania rowerów uzyska 5 punktów).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Projekt zakłada utworzenie firmy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oferującej usługi dla seniorów.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szczegółowo opisał i uzasadnił powiązanie między planowaną działalnością a potrzebami grupy docelowej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w wieku powyżej 50 r. ż.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nie uzyska wnioskodawca,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ry np. planuje otworzy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warsztat mechaniczny i argumentuje,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dzie w nim 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wiadczy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us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ugi dla senior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w, gdy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oni klientami warsztatu.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posiada siedzibę na obszarze LGD lub dodatkowe miejsce prowadzenia działalności gospodarczej zgłoszone co najmniej 12 miesięcy przed dniem złożenia wniosku. 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jest podmiotem ekonomii społecznej. 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 zaplanowanej działalności gospodarczej zostaną wykorzystane lokalne zasoby przyrodnicze i/lub historyczne i/lub kulturowe.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1 kategorii – 2 pkt.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8.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wziął udział w szkoleniu/doradztwie przeprowadzonym przez LGD w ramach danego naboru.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szkoleniu 2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doradztwie 4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za obecność na szkoleniu i doradztwie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6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max 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 xml:space="preserve">którym został złożony wniosek, punkty nie zostaną przyznane.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przewidział wniesienie wkładu własnego na poziomie: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35 % do 45 % - 5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45 % do 55 % -  10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55 % - 15 pkt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kosztów kwalifikowalnych operacji.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15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punkty nie sumują się.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Przykład: Wnioskodawca w budżecie projektu przewidział konieczność poniesienia kosztów kwalifikowanych na łączną kwotę 200 tys. zł, a wnosi o dofinansowanie w wysokości 100 tys. zł. Oznacza to, że wkład własny wyniesie 100 tys. zł, czyli 50% kosztów kwalifikowalnych operacji. Operacja taka otrzyma 10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dostarczył zaświadczenie o niezaleganiu z opłatami wystawione przez: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Gminy/Miasta w zakresie podatku od nieruchomości,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Skarbowy,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ZUS.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</w:t>
            </w:r>
            <w:r w:rsidRPr="00E15022">
              <w:rPr>
                <w:rFonts w:ascii="Arial" w:hAnsi="Arial" w:cs="Arial"/>
                <w:color w:val="auto"/>
                <w:szCs w:val="22"/>
              </w:rPr>
              <w:t xml:space="preserve">Miasta/Gminy. </w:t>
            </w:r>
            <w:r w:rsidRPr="00E15022">
              <w:rPr>
                <w:rFonts w:ascii="Arial" w:hAnsi="Arial" w:cs="Arial"/>
                <w:szCs w:val="22"/>
              </w:rPr>
              <w:t>W przypadku wskazania przez Wnioskodawcę spełnienia kryterium, jednak niezałączenia wszystkich stosownych dokumentów do wniosku o dofinansowanie, punkty w ramach kryterium nie zostaną przyznane.</w:t>
            </w:r>
          </w:p>
        </w:tc>
      </w:tr>
      <w:tr w:rsidR="001978A4" w:rsidRPr="00E15022" w:rsidTr="001978A4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978A4" w:rsidRPr="00E15022" w:rsidRDefault="001978A4" w:rsidP="00E6087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RAZEM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Minimalna liczba punktów, którą musi uzyskać operacja, aby mogła być wybrana do realizacji wynosi </w:t>
            </w:r>
            <w:r w:rsidRPr="00E15022">
              <w:rPr>
                <w:rFonts w:ascii="Arial" w:hAnsi="Arial" w:cs="Arial"/>
                <w:b/>
                <w:szCs w:val="22"/>
              </w:rPr>
              <w:t>60 punktów</w:t>
            </w:r>
            <w:r w:rsidRPr="00E15022">
              <w:rPr>
                <w:rFonts w:ascii="Arial" w:hAnsi="Arial" w:cs="Arial"/>
                <w:szCs w:val="22"/>
              </w:rPr>
              <w:t xml:space="preserve"> na 100 możliwych.</w:t>
            </w:r>
          </w:p>
        </w:tc>
      </w:tr>
    </w:tbl>
    <w:p w:rsidR="00A77DF8" w:rsidRDefault="00A77DF8"/>
    <w:sectPr w:rsidR="00A7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4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978A4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1842</Words>
  <Characters>11003</Characters>
  <Application>Microsoft Office Word</Application>
  <DocSecurity>0</DocSecurity>
  <Lines>733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2016-11-29T14:54:00Z</dcterms:created>
  <dcterms:modified xsi:type="dcterms:W3CDTF">2016-11-29T14:56:00Z</dcterms:modified>
</cp:coreProperties>
</file>